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92"/>
        <w:ind w:left="144" w:right="0" w:firstLine="0"/>
        <w:jc w:val="left"/>
        <w:rPr>
          <w:b/>
          <w:sz w:val="13"/>
        </w:rPr>
      </w:pPr>
      <w:r>
        <w:rPr>
          <w:sz w:val="13"/>
          <w:u w:val="single"/>
          <w:rFonts w:ascii="Times New Roman" w:hAnsi="Times New Roman"/>
        </w:rPr>
        <w:t xml:space="preserve"> </w:t>
      </w:r>
      <w:r>
        <w:rPr>
          <w:sz w:val="13"/>
          <w:u w:val="single"/>
          <w:b/>
        </w:rPr>
        <w:t xml:space="preserve">Appendix No. 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spacing w:before="74"/>
        <w:ind w:left="4148" w:right="4227" w:firstLine="0"/>
        <w:jc w:val="center"/>
        <w:rPr>
          <w:b/>
          <w:sz w:val="13"/>
        </w:rPr>
      </w:pPr>
      <w:r>
        <w:rPr>
          <w:b/>
          <w:sz w:val="13"/>
        </w:rPr>
        <w:t xml:space="preserve">THE CHAMBER OF DIGITAL ECONOMY – e-Chamber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ind w:left="4148" w:right="4339"/>
        <w:jc w:val="center"/>
      </w:pPr>
      <w:r>
        <w:t xml:space="preserve">ANNUAL PARTNERSHIP CONTRIBUTIONS</w:t>
      </w:r>
    </w:p>
    <w:p>
      <w:pPr>
        <w:pStyle w:val="BodyText"/>
        <w:spacing w:before="4"/>
        <w:rPr>
          <w:sz w:val="15"/>
        </w:rPr>
      </w:pPr>
    </w:p>
    <w:p>
      <w:pPr>
        <w:spacing w:before="0"/>
        <w:ind w:left="4148" w:right="4342" w:firstLine="0"/>
        <w:jc w:val="center"/>
        <w:rPr>
          <w:b/>
          <w:sz w:val="13"/>
        </w:rPr>
      </w:pPr>
      <w:r>
        <w:rPr>
          <w:b/>
          <w:sz w:val="13"/>
        </w:rPr>
        <w:t xml:space="preserve">A PARTNERSHIP CONTRIBUTION IS AN AMOUNT</w:t>
      </w:r>
    </w:p>
    <w:p>
      <w:pPr>
        <w:spacing w:before="14"/>
        <w:ind w:left="4148" w:right="4338" w:firstLine="0"/>
        <w:jc w:val="center"/>
        <w:rPr>
          <w:b/>
          <w:sz w:val="13"/>
        </w:rPr>
      </w:pPr>
      <w:r>
        <w:rPr>
          <w:b/>
          <w:sz w:val="13"/>
        </w:rPr>
        <w:t xml:space="preserve">that depends on</w:t>
      </w:r>
    </w:p>
    <w:p>
      <w:pPr>
        <w:pStyle w:val="BodyText"/>
        <w:spacing w:before="12"/>
        <w:ind w:left="4148" w:right="4344"/>
        <w:jc w:val="center"/>
      </w:pPr>
      <w:r>
        <w:t xml:space="preserve">the criterion of ANNUAL INCOME FROM OPERATIONS FOR THE LAST CALENDAR YEAR</w:t>
      </w:r>
    </w:p>
    <w:p>
      <w:pPr>
        <w:pStyle w:val="BodyText"/>
        <w:spacing w:before="14"/>
        <w:ind w:left="4148" w:right="4341"/>
        <w:jc w:val="center"/>
      </w:pPr>
      <w:r>
        <w:t xml:space="preserve">and the criterion of NUMBER OF STAFF EMPLOYED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637"/>
        <w:gridCol w:w="541"/>
        <w:gridCol w:w="715"/>
        <w:gridCol w:w="807"/>
        <w:gridCol w:w="809"/>
        <w:gridCol w:w="809"/>
        <w:gridCol w:w="809"/>
        <w:gridCol w:w="812"/>
        <w:gridCol w:w="809"/>
        <w:gridCol w:w="811"/>
        <w:gridCol w:w="813"/>
        <w:gridCol w:w="814"/>
        <w:gridCol w:w="813"/>
        <w:gridCol w:w="811"/>
        <w:gridCol w:w="815"/>
      </w:tblGrid>
      <w:tr>
        <w:trPr>
          <w:trHeight w:val="375" w:hRule="atLeast"/>
        </w:trPr>
        <w:tc>
          <w:tcPr>
            <w:tcW w:w="81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gridSpan w:val="2"/>
            <w:tcBorders>
              <w:bottom w:val="nil"/>
            </w:tcBorders>
            <w:shd w:val="clear" w:color="auto" w:fill="C0504D"/>
          </w:tcPr>
          <w:p>
            <w:pPr>
              <w:pStyle w:val="TableParagraph"/>
              <w:spacing w:line="256" w:lineRule="auto"/>
              <w:ind w:left="194" w:firstLine="264"/>
              <w:jc w:val="left"/>
              <w:rPr>
                <w:sz w:val="13"/>
              </w:rPr>
            </w:pPr>
            <w:r>
              <w:rPr>
                <w:sz w:val="13"/>
              </w:rPr>
              <w:t xml:space="preserve">NUMBER OF STAFF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shd w:val="clear" w:color="auto" w:fill="DA9593"/>
          </w:tcPr>
          <w:p>
            <w:pPr>
              <w:pStyle w:val="TableParagraph"/>
              <w:ind w:left="175"/>
              <w:jc w:val="left"/>
              <w:rPr>
                <w:sz w:val="13"/>
              </w:rPr>
            </w:pPr>
            <w:r>
              <w:rPr>
                <w:sz w:val="13"/>
              </w:rPr>
              <w:t xml:space="preserve">ANNUAL</w:t>
            </w:r>
          </w:p>
          <w:p>
            <w:pPr>
              <w:pStyle w:val="TableParagraph"/>
              <w:spacing w:before="12"/>
              <w:ind w:left="103"/>
              <w:jc w:val="left"/>
              <w:rPr>
                <w:sz w:val="13"/>
              </w:rPr>
            </w:pPr>
            <w:r>
              <w:rPr>
                <w:sz w:val="13"/>
              </w:rPr>
              <w:t xml:space="preserve">INCOME</w:t>
            </w:r>
          </w:p>
        </w:tc>
        <w:tc>
          <w:tcPr>
            <w:tcW w:w="9732" w:type="dxa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8DB4E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674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gridSpan w:val="2"/>
            <w:tcBorders>
              <w:top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tabs>
                <w:tab w:pos="904" w:val="left" w:leader="none"/>
              </w:tabs>
              <w:spacing w:line="142" w:lineRule="exact" w:before="73"/>
              <w:ind w:left="338"/>
              <w:jc w:val="left"/>
              <w:rPr>
                <w:sz w:val="13"/>
              </w:rPr>
            </w:pPr>
            <w:r>
              <w:rPr>
                <w:sz w:val="13"/>
              </w:rPr>
              <w:t xml:space="preserve">from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 xml:space="preserve">to</w:t>
            </w:r>
          </w:p>
        </w:tc>
        <w:tc>
          <w:tcPr>
            <w:tcW w:w="715" w:type="dxa"/>
            <w:tcBorders>
              <w:top w:val="nil"/>
            </w:tcBorders>
            <w:shd w:val="clear" w:color="auto" w:fill="DA9593"/>
          </w:tcPr>
          <w:p>
            <w:pPr>
              <w:pStyle w:val="TableParagraph"/>
              <w:spacing w:line="256" w:lineRule="auto" w:before="0"/>
              <w:ind w:left="168" w:right="84" w:firstLine="45"/>
              <w:jc w:val="left"/>
              <w:rPr>
                <w:sz w:val="13"/>
              </w:rPr>
            </w:pPr>
            <w:r>
              <w:rPr>
                <w:sz w:val="13"/>
              </w:rPr>
              <w:t xml:space="preserve">IN LAST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 xml:space="preserve">CAL. YEAR</w:t>
            </w:r>
          </w:p>
          <w:p>
            <w:pPr>
              <w:pStyle w:val="TableParagraph"/>
              <w:spacing w:line="142" w:lineRule="exact" w:before="3"/>
              <w:ind w:left="305"/>
              <w:jc w:val="left"/>
              <w:rPr>
                <w:sz w:val="13"/>
              </w:rPr>
            </w:pPr>
            <w:r>
              <w:rPr>
                <w:sz w:val="13"/>
              </w:rPr>
              <w:t xml:space="preserve">[UP TO</w:t>
            </w:r>
          </w:p>
        </w:tc>
        <w:tc>
          <w:tcPr>
            <w:tcW w:w="8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11"/>
              </w:rPr>
            </w:pPr>
            <w:r>
              <w:rPr>
                <w:sz w:val="11"/>
              </w:rPr>
              <w:t xml:space="preserve">&gt;500,000</w:t>
            </w:r>
          </w:p>
          <w:p>
            <w:pPr>
              <w:pStyle w:val="TableParagraph"/>
              <w:spacing w:line="115" w:lineRule="exact" w:before="12"/>
              <w:ind w:left="327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11"/>
              </w:rPr>
            </w:pPr>
            <w:r>
              <w:rPr>
                <w:sz w:val="11"/>
              </w:rPr>
              <w:t xml:space="preserve">10,000,000</w:t>
            </w:r>
          </w:p>
          <w:p>
            <w:pPr>
              <w:pStyle w:val="TableParagraph"/>
              <w:spacing w:line="115" w:lineRule="exact" w:before="12"/>
              <w:ind w:left="161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11"/>
              </w:rPr>
            </w:pPr>
            <w:r>
              <w:rPr>
                <w:sz w:val="11"/>
              </w:rPr>
              <w:t xml:space="preserve">20,000,000</w:t>
            </w:r>
          </w:p>
          <w:p>
            <w:pPr>
              <w:pStyle w:val="TableParagraph"/>
              <w:spacing w:line="115" w:lineRule="exact" w:before="12"/>
              <w:ind w:left="161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11"/>
              </w:rPr>
            </w:pPr>
            <w:r>
              <w:rPr>
                <w:sz w:val="11"/>
              </w:rPr>
              <w:t xml:space="preserve">25,000,000</w:t>
            </w:r>
          </w:p>
          <w:p>
            <w:pPr>
              <w:pStyle w:val="TableParagraph"/>
              <w:spacing w:line="115" w:lineRule="exact" w:before="12"/>
              <w:ind w:left="161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11"/>
              </w:rPr>
            </w:pPr>
            <w:r>
              <w:rPr>
                <w:sz w:val="11"/>
              </w:rPr>
              <w:t xml:space="preserve">30,000,000</w:t>
            </w:r>
          </w:p>
          <w:p>
            <w:pPr>
              <w:pStyle w:val="TableParagraph"/>
              <w:spacing w:line="115" w:lineRule="exact" w:before="12"/>
              <w:ind w:left="161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11"/>
              </w:rPr>
            </w:pPr>
            <w:r>
              <w:rPr>
                <w:sz w:val="11"/>
              </w:rPr>
              <w:t xml:space="preserve">40,000,000</w:t>
            </w:r>
          </w:p>
          <w:p>
            <w:pPr>
              <w:pStyle w:val="TableParagraph"/>
              <w:spacing w:line="115" w:lineRule="exact" w:before="12"/>
              <w:ind w:left="158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8"/>
              <w:jc w:val="left"/>
              <w:rPr>
                <w:sz w:val="11"/>
              </w:rPr>
            </w:pPr>
            <w:r>
              <w:rPr>
                <w:sz w:val="11"/>
              </w:rPr>
              <w:t xml:space="preserve">50,000,000</w:t>
            </w:r>
          </w:p>
          <w:p>
            <w:pPr>
              <w:pStyle w:val="TableParagraph"/>
              <w:spacing w:line="115" w:lineRule="exact" w:before="12"/>
              <w:ind w:left="160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08"/>
              <w:jc w:val="left"/>
              <w:rPr>
                <w:sz w:val="11"/>
              </w:rPr>
            </w:pPr>
            <w:r>
              <w:rPr>
                <w:sz w:val="11"/>
              </w:rPr>
              <w:t xml:space="preserve">100,000,000</w:t>
            </w:r>
          </w:p>
          <w:p>
            <w:pPr>
              <w:pStyle w:val="TableParagraph"/>
              <w:spacing w:line="115" w:lineRule="exact" w:before="12"/>
              <w:ind w:left="160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11"/>
              </w:rPr>
            </w:pPr>
            <w:r>
              <w:rPr>
                <w:sz w:val="11"/>
              </w:rPr>
              <w:t xml:space="preserve">200,000,000</w:t>
            </w:r>
          </w:p>
          <w:p>
            <w:pPr>
              <w:pStyle w:val="TableParagraph"/>
              <w:spacing w:line="115" w:lineRule="exact" w:before="12"/>
              <w:ind w:left="161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11"/>
              </w:rPr>
            </w:pPr>
            <w:r>
              <w:rPr>
                <w:sz w:val="11"/>
              </w:rPr>
              <w:t xml:space="preserve">300,000,000</w:t>
            </w:r>
          </w:p>
          <w:p>
            <w:pPr>
              <w:pStyle w:val="TableParagraph"/>
              <w:spacing w:line="115" w:lineRule="exact" w:before="12"/>
              <w:ind w:left="161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10"/>
              <w:jc w:val="left"/>
              <w:rPr>
                <w:sz w:val="11"/>
              </w:rPr>
            </w:pPr>
            <w:r>
              <w:rPr>
                <w:sz w:val="11"/>
              </w:rPr>
              <w:t xml:space="preserve">400,000,000</w:t>
            </w:r>
          </w:p>
          <w:p>
            <w:pPr>
              <w:pStyle w:val="TableParagraph"/>
              <w:spacing w:line="115" w:lineRule="exact" w:before="12"/>
              <w:ind w:left="162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DA9593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62"/>
              <w:jc w:val="left"/>
              <w:rPr>
                <w:sz w:val="11"/>
              </w:rPr>
            </w:pPr>
            <w:r>
              <w:rPr>
                <w:sz w:val="11"/>
              </w:rPr>
              <w:t xml:space="preserve">&gt;400,000,000</w:t>
            </w:r>
          </w:p>
          <w:p>
            <w:pPr>
              <w:pStyle w:val="TableParagraph"/>
              <w:spacing w:line="115" w:lineRule="exact" w:before="12"/>
              <w:ind w:left="162"/>
              <w:jc w:val="left"/>
              <w:rPr>
                <w:sz w:val="11"/>
              </w:rPr>
            </w:pPr>
            <w:r>
              <w:rPr>
                <w:sz w:val="11"/>
              </w:rPr>
              <w:t xml:space="preserve">PLN</w:t>
            </w:r>
          </w:p>
        </w:tc>
      </w:tr>
      <w:tr>
        <w:trPr>
          <w:trHeight w:val="176" w:hRule="atLeast"/>
        </w:trPr>
        <w:tc>
          <w:tcPr>
            <w:tcW w:w="816" w:type="dxa"/>
            <w:vMerge w:val="restart"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7" w:type="dxa"/>
            <w:vMerge w:val="restart"/>
            <w:tcBorders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spacing w:before="3"/>
              <w:ind w:left="6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</w:t>
            </w:r>
          </w:p>
          <w:p>
            <w:pPr>
              <w:pStyle w:val="TableParagraph"/>
              <w:spacing w:before="11"/>
              <w:ind w:left="262" w:right="198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11</w:t>
            </w:r>
          </w:p>
          <w:p>
            <w:pPr>
              <w:pStyle w:val="TableParagraph"/>
              <w:spacing w:before="14"/>
              <w:ind w:left="262" w:right="198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21</w:t>
            </w:r>
          </w:p>
          <w:p>
            <w:pPr>
              <w:pStyle w:val="TableParagraph"/>
              <w:spacing w:before="12"/>
              <w:ind w:left="262" w:right="198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31</w:t>
            </w:r>
          </w:p>
        </w:tc>
        <w:tc>
          <w:tcPr>
            <w:tcW w:w="541" w:type="dxa"/>
            <w:vMerge w:val="restart"/>
            <w:tcBorders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spacing w:before="3"/>
              <w:ind w:left="275"/>
              <w:jc w:val="left"/>
              <w:rPr>
                <w:sz w:val="13"/>
              </w:rPr>
            </w:pPr>
            <w:r>
              <w:rPr>
                <w:sz w:val="13"/>
              </w:rPr>
              <w:t xml:space="preserve">10</w:t>
            </w:r>
          </w:p>
          <w:p>
            <w:pPr>
              <w:pStyle w:val="TableParagraph"/>
              <w:spacing w:before="11"/>
              <w:ind w:left="275"/>
              <w:jc w:val="left"/>
              <w:rPr>
                <w:sz w:val="13"/>
              </w:rPr>
            </w:pPr>
            <w:r>
              <w:rPr>
                <w:sz w:val="13"/>
              </w:rPr>
              <w:t xml:space="preserve">20</w:t>
            </w:r>
          </w:p>
          <w:p>
            <w:pPr>
              <w:pStyle w:val="TableParagraph"/>
              <w:spacing w:before="14"/>
              <w:ind w:left="275"/>
              <w:jc w:val="left"/>
              <w:rPr>
                <w:sz w:val="13"/>
              </w:rPr>
            </w:pPr>
            <w:r>
              <w:rPr>
                <w:sz w:val="13"/>
              </w:rPr>
              <w:t xml:space="preserve">30</w:t>
            </w:r>
          </w:p>
          <w:p>
            <w:pPr>
              <w:pStyle w:val="TableParagraph"/>
              <w:spacing w:before="12"/>
              <w:ind w:left="275"/>
              <w:jc w:val="left"/>
              <w:rPr>
                <w:sz w:val="13"/>
              </w:rPr>
            </w:pPr>
            <w:r>
              <w:rPr>
                <w:sz w:val="13"/>
              </w:rPr>
              <w:t xml:space="preserve">50</w:t>
            </w:r>
          </w:p>
        </w:tc>
        <w:tc>
          <w:tcPr>
            <w:tcW w:w="715" w:type="dxa"/>
            <w:vMerge w:val="restart"/>
            <w:tcBorders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44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177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spacing w:line="154" w:lineRule="exact" w:before="3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3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177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shd w:val="clear" w:color="auto" w:fill="CCFFCC"/>
          </w:tcPr>
          <w:p>
            <w:pPr>
              <w:pStyle w:val="TableParagraph"/>
              <w:spacing w:line="156" w:lineRule="exact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shd w:val="clear" w:color="auto" w:fill="CCFFCC"/>
          </w:tcPr>
          <w:p>
            <w:pPr>
              <w:pStyle w:val="TableParagraph"/>
              <w:spacing w:line="156" w:lineRule="exact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spacing w:line="156" w:lineRule="exact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spacing w:line="156" w:lineRule="exact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spacing w:line="156" w:lineRule="exact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spacing w:line="156" w:lineRule="exact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spacing w:line="156" w:lineRule="exact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177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shd w:val="clear" w:color="auto" w:fill="CCFFCC"/>
          </w:tcPr>
          <w:p>
            <w:pPr>
              <w:pStyle w:val="TableParagraph"/>
              <w:spacing w:line="156" w:lineRule="exact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shd w:val="clear" w:color="auto" w:fill="CCFFCC"/>
          </w:tcPr>
          <w:p>
            <w:pPr>
              <w:pStyle w:val="TableParagraph"/>
              <w:spacing w:line="156" w:lineRule="exact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56" w:lineRule="exact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spacing w:line="156" w:lineRule="exact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spacing w:line="156" w:lineRule="exact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spacing w:line="156" w:lineRule="exact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spacing w:line="156" w:lineRule="exact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spacing w:line="156" w:lineRule="exact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3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left="283"/>
              <w:jc w:val="left"/>
              <w:rPr>
                <w:sz w:val="13"/>
              </w:rPr>
            </w:pPr>
            <w:r>
              <w:rPr>
                <w:sz w:val="13"/>
              </w:rPr>
              <w:t xml:space="preserve">51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right="134"/>
              <w:rPr>
                <w:sz w:val="13"/>
              </w:rPr>
            </w:pPr>
            <w:r>
              <w:rPr>
                <w:sz w:val="13"/>
              </w:rPr>
              <w:t xml:space="preserve">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shd w:val="clear" w:color="auto" w:fill="CCFFCC"/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3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left="283"/>
              <w:jc w:val="left"/>
              <w:rPr>
                <w:sz w:val="13"/>
              </w:rPr>
            </w:pPr>
            <w:r>
              <w:rPr>
                <w:sz w:val="13"/>
              </w:rPr>
              <w:t xml:space="preserve">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right="102"/>
              <w:rPr>
                <w:sz w:val="13"/>
              </w:rPr>
            </w:pPr>
            <w:r>
              <w:rPr>
                <w:sz w:val="13"/>
              </w:rPr>
              <w:t xml:space="preserve">100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shd w:val="clear" w:color="auto" w:fill="CCFFCC"/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3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left="302"/>
              <w:jc w:val="left"/>
              <w:rPr>
                <w:sz w:val="13"/>
              </w:rPr>
            </w:pPr>
            <w:r>
              <w:rPr>
                <w:sz w:val="13"/>
              </w:rPr>
              <w:t xml:space="preserve">101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right="102"/>
              <w:rPr>
                <w:sz w:val="13"/>
              </w:rPr>
            </w:pPr>
            <w:r>
              <w:rPr>
                <w:sz w:val="13"/>
              </w:rPr>
              <w:t xml:space="preserve">150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3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left="302"/>
              <w:jc w:val="left"/>
              <w:rPr>
                <w:sz w:val="13"/>
              </w:rPr>
            </w:pPr>
            <w:r>
              <w:rPr>
                <w:sz w:val="13"/>
              </w:rPr>
              <w:t xml:space="preserve">151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right="102"/>
              <w:rPr>
                <w:sz w:val="13"/>
              </w:rPr>
            </w:pPr>
            <w:r>
              <w:rPr>
                <w:sz w:val="13"/>
              </w:rPr>
              <w:t xml:space="preserve">200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3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left="302"/>
              <w:jc w:val="left"/>
              <w:rPr>
                <w:sz w:val="13"/>
              </w:rPr>
            </w:pPr>
            <w:r>
              <w:rPr>
                <w:sz w:val="13"/>
              </w:rPr>
              <w:t xml:space="preserve">201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right="102"/>
              <w:rPr>
                <w:sz w:val="13"/>
              </w:rPr>
            </w:pPr>
            <w:r>
              <w:rPr>
                <w:sz w:val="13"/>
              </w:rPr>
              <w:t xml:space="preserve">250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shd w:val="clear" w:color="auto" w:fill="CCFFCC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3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left="302"/>
              <w:jc w:val="left"/>
              <w:rPr>
                <w:sz w:val="13"/>
              </w:rPr>
            </w:pPr>
            <w:r>
              <w:rPr>
                <w:sz w:val="13"/>
              </w:rPr>
              <w:t xml:space="preserve">251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</w:tcPr>
          <w:p>
            <w:pPr>
              <w:pStyle w:val="TableParagraph"/>
              <w:ind w:right="102"/>
              <w:rPr>
                <w:sz w:val="13"/>
              </w:rPr>
            </w:pPr>
            <w:r>
              <w:rPr>
                <w:sz w:val="13"/>
              </w:rPr>
              <w:t xml:space="preserve">400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shd w:val="clear" w:color="auto" w:fill="CCFFCC"/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shd w:val="clear" w:color="auto" w:fill="CCFFCC"/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  <w:tr>
        <w:trPr>
          <w:trHeight w:val="335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shd w:val="clear" w:color="auto" w:fill="8DB4E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nil"/>
              <w:right w:val="nil"/>
            </w:tcBorders>
            <w:shd w:val="clear" w:color="auto" w:fill="C0504D"/>
          </w:tcPr>
          <w:p>
            <w:pPr>
              <w:pStyle w:val="TableParagraph"/>
              <w:ind w:left="302"/>
              <w:jc w:val="left"/>
              <w:rPr>
                <w:sz w:val="13"/>
              </w:rPr>
            </w:pPr>
            <w:r>
              <w:rPr>
                <w:sz w:val="13"/>
              </w:rPr>
              <w:t xml:space="preserve">401</w:t>
            </w: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ind w:left="136"/>
              <w:jc w:val="left"/>
              <w:rPr>
                <w:sz w:val="13"/>
              </w:rPr>
            </w:pPr>
            <w:r>
              <w:rPr>
                <w:sz w:val="13"/>
              </w:rPr>
              <w:t xml:space="preserve">and</w:t>
            </w:r>
          </w:p>
          <w:p>
            <w:pPr>
              <w:pStyle w:val="TableParagraph"/>
              <w:spacing w:line="142" w:lineRule="exact" w:before="14"/>
              <w:ind w:left="136"/>
              <w:jc w:val="left"/>
              <w:rPr>
                <w:sz w:val="13"/>
              </w:rPr>
            </w:pPr>
            <w:r>
              <w:rPr>
                <w:sz w:val="13"/>
              </w:rPr>
              <w:t xml:space="preserve">more</w:t>
            </w:r>
          </w:p>
        </w:tc>
        <w:tc>
          <w:tcPr>
            <w:tcW w:w="715" w:type="dxa"/>
            <w:tcBorders>
              <w:top w:val="nil"/>
              <w:left w:val="nil"/>
            </w:tcBorders>
            <w:shd w:val="clear" w:color="auto" w:fill="C0504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11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82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7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1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8"/>
              <w:rPr>
                <w:sz w:val="13"/>
              </w:rPr>
            </w:pPr>
            <w:r>
              <w:rPr>
                <w:sz w:val="13"/>
              </w:rPr>
              <w:t xml:space="preserve">10,000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12,000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3"/>
              </w:rPr>
            </w:pPr>
            <w:r>
              <w:rPr>
                <w:sz w:val="13"/>
              </w:rPr>
              <w:t xml:space="preserve">15,000</w:t>
            </w:r>
          </w:p>
        </w:tc>
        <w:tc>
          <w:tcPr>
            <w:tcW w:w="813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18,000</w:t>
            </w:r>
          </w:p>
        </w:tc>
        <w:tc>
          <w:tcPr>
            <w:tcW w:w="814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8"/>
              <w:rPr>
                <w:sz w:val="13"/>
              </w:rPr>
            </w:pPr>
            <w:r>
              <w:rPr>
                <w:sz w:val="13"/>
              </w:rPr>
              <w:t xml:space="preserve">22,000</w:t>
            </w:r>
          </w:p>
        </w:tc>
        <w:tc>
          <w:tcPr>
            <w:tcW w:w="813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7"/>
              <w:rPr>
                <w:sz w:val="13"/>
              </w:rPr>
            </w:pPr>
            <w:r>
              <w:rPr>
                <w:sz w:val="13"/>
              </w:rPr>
              <w:t xml:space="preserve">26,000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3"/>
              </w:rPr>
            </w:pPr>
            <w:r>
              <w:rPr>
                <w:sz w:val="13"/>
              </w:rPr>
              <w:t xml:space="preserve">30,000</w:t>
            </w:r>
          </w:p>
        </w:tc>
        <w:tc>
          <w:tcPr>
            <w:tcW w:w="8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z w:val="13"/>
              </w:rPr>
              <w:t xml:space="preserve">43,000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1"/>
        <w:ind w:left="129"/>
      </w:pPr>
      <w:r>
        <w:t xml:space="preserve">Effective from 08.04.2024</w:t>
      </w:r>
    </w:p>
    <w:sectPr>
      <w:type w:val="continuous"/>
      <w:pgSz w:w="16840" w:h="11910" w:orient="landscape"/>
      <w:pgMar w:top="1100" w:bottom="280" w:left="13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GB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3"/>
      <w:szCs w:val="13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right"/>
    </w:pPr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Sass-Staniszewska</dc:creator>
  <dc:title>e-Izba</dc:title>
  <dcterms:created xsi:type="dcterms:W3CDTF">2024-09-19T08:30:21Z</dcterms:created>
  <dcterms:modified xsi:type="dcterms:W3CDTF">2024-09-19T08:30:21Z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2024-09-19T00:00:00Z</vt:filetime>
  </property>
</Properties>
</file>